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5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MMV</w:t>
      </w:r>
      <w:r>
        <w:t xml:space="preserve"> </w:t>
      </w:r>
      <w:r>
        <w:t xml:space="preserve">LAI</w:t>
      </w:r>
      <w:r>
        <w:t xml:space="preserve"> </w:t>
      </w:r>
      <w:r>
        <w:t xml:space="preserve">Parameter</w:t>
      </w:r>
      <w:r>
        <w:t xml:space="preserve"> </w:t>
      </w:r>
      <w:r>
        <w:t xml:space="preserve">Explorer</w:t>
      </w:r>
      <w:r>
        <w:t xml:space="preserve"> </w:t>
      </w:r>
      <w:r>
        <w:t xml:space="preserve">-</w:t>
      </w:r>
      <w:r>
        <w:t xml:space="preserve"> </w:t>
      </w:r>
      <w:r>
        <w:t xml:space="preserve">User</w:t>
      </w:r>
      <w:r>
        <w:t xml:space="preserve"> </w:t>
      </w:r>
      <w:r>
        <w:t xml:space="preserve">Guide</w:t>
      </w:r>
    </w:p>
    <w:p>
      <w:pPr>
        <w:pStyle w:val="Author"/>
      </w:pPr>
      <w:r>
        <w:t xml:space="preserve">Venelin</w:t>
      </w:r>
      <w:r>
        <w:t xml:space="preserve"> </w:t>
      </w:r>
      <w:r>
        <w:t xml:space="preserve">Mitov,</w:t>
      </w:r>
      <w:r>
        <w:t xml:space="preserve"> </w:t>
      </w:r>
      <w:r>
        <w:t xml:space="preserve">Ghaith</w:t>
      </w:r>
      <w:r>
        <w:t xml:space="preserve"> </w:t>
      </w:r>
      <w:r>
        <w:t xml:space="preserve">Aljayyoussi,</w:t>
      </w:r>
      <w:r>
        <w:t xml:space="preserve"> </w:t>
      </w:r>
      <w:r>
        <w:t xml:space="preserve">Peter</w:t>
      </w:r>
      <w:r>
        <w:t xml:space="preserve"> </w:t>
      </w:r>
      <w:r>
        <w:t xml:space="preserve">Webborn,</w:t>
      </w:r>
      <w:r>
        <w:t xml:space="preserve"> </w:t>
      </w:r>
      <w:r>
        <w:t xml:space="preserve">Mark</w:t>
      </w:r>
      <w:r>
        <w:t xml:space="preserve"> </w:t>
      </w:r>
      <w:r>
        <w:t xml:space="preserve">Gardner,</w:t>
      </w:r>
      <w:r>
        <w:t xml:space="preserve"> </w:t>
      </w:r>
      <w:r>
        <w:t xml:space="preserve">Sam</w:t>
      </w:r>
      <w:r>
        <w:t xml:space="preserve"> </w:t>
      </w:r>
      <w:r>
        <w:t xml:space="preserve">Jones,</w:t>
      </w:r>
      <w:r>
        <w:t xml:space="preserve"> </w:t>
      </w:r>
      <w:r>
        <w:t xml:space="preserve">Nathalie</w:t>
      </w:r>
      <w:r>
        <w:t xml:space="preserve"> </w:t>
      </w:r>
      <w:r>
        <w:t xml:space="preserve">Gobeau,</w:t>
      </w:r>
      <w:r>
        <w:t xml:space="preserve"> </w:t>
      </w:r>
      <w:r>
        <w:t xml:space="preserve">Jeremy</w:t>
      </w:r>
      <w:r>
        <w:t xml:space="preserve"> </w:t>
      </w:r>
      <w:r>
        <w:t xml:space="preserve">Burrows,</w:t>
      </w:r>
      <w:r>
        <w:t xml:space="preserve"> </w:t>
      </w:r>
      <w:r>
        <w:t xml:space="preserve">Steven</w:t>
      </w:r>
      <w:r>
        <w:t xml:space="preserve"> </w:t>
      </w:r>
      <w:r>
        <w:t xml:space="preserve">Brand</w:t>
      </w:r>
    </w:p>
    <w:p>
      <w:pPr>
        <w:pStyle w:val="Date"/>
      </w:pPr>
      <w:r>
        <w:t xml:space="preserve">Version</w:t>
      </w:r>
      <w:r>
        <w:t xml:space="preserve"> </w:t>
      </w:r>
      <w:r>
        <w:t xml:space="preserve">1.4.1,</w:t>
      </w:r>
      <w:r>
        <w:t xml:space="preserve"> </w:t>
      </w:r>
      <w:r>
        <w:t xml:space="preserve">November</w:t>
      </w:r>
      <w:r>
        <w:t xml:space="preserve"> </w:t>
      </w:r>
      <w:r>
        <w:t xml:space="preserve">2026</w:t>
      </w:r>
    </w:p>
    <w:p>
      <w:pPr>
        <w:pStyle w:val="FirstParagraph"/>
      </w:pPr>
      <w:r>
        <w:t xml:space="preserve">© 2026 Medicines for Malaria Venture. All rights reserved.</w:t>
      </w:r>
    </w:p>
    <w:p>
      <w:pPr>
        <w:pStyle w:val="BodyText"/>
      </w:pPr>
      <w:r>
        <w:rPr>
          <w:iCs/>
          <w:i/>
        </w:rPr>
        <w:t xml:space="preserve">Suggested citation:</w:t>
      </w:r>
      <w:r>
        <w:t xml:space="preserve"> </w:t>
      </w:r>
      <w:r>
        <w:t xml:space="preserve">Venelin Mitov, Ghaith Aljayyoussi, Peter Webborn, Mark Gardner, Sam Jones, Nathalie Gobeau, Jeremy Burrows, Steven Brand (2026). MMV LAI Parameter Explorer - User Guide, version 1.4.1. Medicines for Malaria Venture.</w:t>
      </w:r>
      <w:r>
        <w:t xml:space="preserve"> </w:t>
      </w:r>
      <w:hyperlink r:id="rId20">
        <w:r>
          <w:rPr>
            <w:rStyle w:val="Hyperlink"/>
          </w:rPr>
          <w:t xml:space="preserve">https://laiparameter.mmv.org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The LAI Parameter Explorer helps you answer two questions about a Long-Acting</w:t>
      </w:r>
      <w:r>
        <w:t xml:space="preserve"> </w:t>
      </w:r>
      <w:r>
        <w:t xml:space="preserve">Injectable (LAI) antimalarial drug candidate, given its unbound</w:t>
      </w:r>
      <w:r>
        <w:t xml:space="preserve"> </w:t>
      </w:r>
      <w:r>
        <w:t xml:space="preserve">pharmacokinetic (PK) and pharmacodynamic (PD) parameters: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What is the largest in-vivo MIC,u</w:t>
      </w:r>
      <w:r>
        <w:t xml:space="preserve"> </w:t>
      </w:r>
      <w:r>
        <w:t xml:space="preserve">that the recommended MMV Critical</w:t>
      </w:r>
      <w:r>
        <w:t xml:space="preserve"> </w:t>
      </w:r>
      <w:r>
        <w:t xml:space="preserve">Late-Lead dose of 400 mg would still cover for a chosen</w:t>
      </w:r>
      <w:r>
        <w:t xml:space="preserve"> </w:t>
      </w:r>
      <w:r>
        <w:t xml:space="preserve">coverage duration?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What is the minimum dose</w:t>
      </w:r>
      <w:r>
        <w:t xml:space="preserve"> </w:t>
      </w:r>
      <w:r>
        <w:t xml:space="preserve">needed to keep the unbound plasma</w:t>
      </w:r>
      <w:r>
        <w:t xml:space="preserve"> </w:t>
      </w:r>
      <w:r>
        <w:t xml:space="preserve">concentration above the compound’s in-vivo MIC,u for that duration?</w:t>
      </w:r>
    </w:p>
    <w:p>
      <w:pPr>
        <w:pStyle w:val="FirstParagraph"/>
      </w:pPr>
      <w:r>
        <w:t xml:space="preserve">Chapter</w:t>
      </w:r>
      <w:r>
        <w:t xml:space="preserve"> </w:t>
      </w:r>
      <w:r>
        <w:t xml:space="preserve">1</w:t>
      </w:r>
      <w:r>
        <w:t xml:space="preserve"> </w:t>
      </w:r>
      <w:r>
        <w:t xml:space="preserve">walks through a complete worked example,</w:t>
      </w:r>
      <w:r>
        <w:t xml:space="preserve"> </w:t>
      </w:r>
      <w:r>
        <w:t xml:space="preserve">from obtaining predicted unbound parameters in MMVFree to reading the answers off</w:t>
      </w:r>
      <w:r>
        <w:t xml:space="preserve"> </w:t>
      </w:r>
      <w:r>
        <w:t xml:space="preserve">both plot types in the</w:t>
      </w:r>
      <w:r>
        <w:t xml:space="preserve"> </w:t>
      </w:r>
      <w:r>
        <w:rPr>
          <w:bCs/>
          <w:b/>
        </w:rPr>
        <w:t xml:space="preserve">Prediction</w:t>
      </w:r>
      <w:r>
        <w:t xml:space="preserve"> </w:t>
      </w:r>
      <w:r>
        <w:t xml:space="preserve">tab.</w:t>
      </w:r>
    </w:p>
    <w:p>
      <w:pPr>
        <w:pStyle w:val="BodyText"/>
      </w:pPr>
      <w:r>
        <w:t xml:space="preserve">Chapter</w:t>
      </w:r>
      <w:r>
        <w:t xml:space="preserve"> </w:t>
      </w:r>
      <w:r>
        <w:t xml:space="preserve">2</w:t>
      </w:r>
      <w:r>
        <w:t xml:space="preserve"> </w:t>
      </w:r>
      <w:r>
        <w:t xml:space="preserve">is a comprehensive reference covering every</w:t>
      </w:r>
      <w:r>
        <w:t xml:space="preserve"> </w:t>
      </w:r>
      <w:r>
        <w:t xml:space="preserve">input, output, and interactive feature of the app.</w:t>
      </w:r>
    </w:p>
    <w:bookmarkEnd w:id="21"/>
    <w:bookmarkStart w:id="46" w:name="getting-started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Getting Started</w:t>
      </w:r>
    </w:p>
    <w:p>
      <w:pPr>
        <w:pStyle w:val="FirstParagraph"/>
      </w:pPr>
      <w:r>
        <w:t xml:space="preserve">This chapter walks through a complete example using a hypothetical compound. You will: obtain predicted</w:t>
      </w:r>
      <w:r>
        <w:t xml:space="preserve"> </w:t>
      </w:r>
      <w:r>
        <w:t xml:space="preserve">unbound PK and PD parameters from MMVFree, enter them into the LAI Parameter</w:t>
      </w:r>
      <w:r>
        <w:t xml:space="preserve"> </w:t>
      </w:r>
      <w:r>
        <w:t xml:space="preserve">Explorer, explore the Max MIC,u plot to answer question 1, and then switch to</w:t>
      </w:r>
      <w:r>
        <w:t xml:space="preserve"> </w:t>
      </w:r>
      <w:r>
        <w:t xml:space="preserve">the Min Dose plot to answer question 2.</w:t>
      </w:r>
    </w:p>
    <w:p>
      <w:pPr>
        <w:pStyle w:val="BodyText"/>
      </w:pPr>
      <w:r>
        <w:rPr>
          <w:bCs/>
          <w:b/>
        </w:rPr>
        <w:t xml:space="preserve">A tip before you start:</w:t>
      </w:r>
      <w:r>
        <w:t xml:space="preserve"> </w:t>
      </w:r>
      <w:r>
        <w:t xml:space="preserve">screenshots appear blurred when the browser</w:t>
      </w:r>
      <w:r>
        <w:t xml:space="preserve"> </w:t>
      </w:r>
      <w:r>
        <w:t xml:space="preserve">downscales them. Right-click any screenshot and choose</w:t>
      </w:r>
      <w:r>
        <w:t xml:space="preserve"> </w:t>
      </w:r>
      <w:r>
        <w:rPr>
          <w:iCs/>
          <w:i/>
        </w:rPr>
        <w:t xml:space="preserve">Open image in new tab</w:t>
      </w:r>
      <w:r>
        <w:t xml:space="preserve"> </w:t>
      </w:r>
      <w:r>
        <w:t xml:space="preserve">(or equivalent in your browser) to view it at full resolution.</w:t>
      </w:r>
    </w:p>
    <w:bookmarkStart w:id="28" w:name="Xcedf27319a47992fd28e95756786eef5d73106c"/>
    <w:p>
      <w:pPr>
        <w:pStyle w:val="Heading2"/>
      </w:pPr>
      <w:r>
        <w:t xml:space="preserve">Step 1: Obtain unbound parameters from MMVFree</w:t>
      </w:r>
    </w:p>
    <w:p>
      <w:pPr>
        <w:pStyle w:val="FirstParagraph"/>
      </w:pPr>
      <w:r>
        <w:t xml:space="preserve">Open MMVFree and go to the</w:t>
      </w:r>
      <w:r>
        <w:t xml:space="preserve"> </w:t>
      </w:r>
      <w:r>
        <w:rPr>
          <w:bCs/>
          <w:b/>
        </w:rPr>
        <w:t xml:space="preserve">Input Data</w:t>
      </w:r>
      <w:r>
        <w:t xml:space="preserve"> </w:t>
      </w:r>
      <w:r>
        <w:t xml:space="preserve">tab. Enter the following example values for</w:t>
      </w:r>
      <w:r>
        <w:t xml:space="preserve"> </w:t>
      </w:r>
      <w:r>
        <w:t xml:space="preserve">your compound in the table row (click any cell in the row to edit it):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Molecular Weight (Da)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Blood to Plasma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Plasma Protein Binding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Microsome Binding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Mic. CLint (µL/min/mg protein)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Rat Plasma Vss (L/kg)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TCGLS 3D7 72h IC50 (nM)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 vitro Hill Slope (power)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Log10 in vitro PRR / 48h (log10 ratio)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</w:tbl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userguide_files/images/gs_01_mmvfree_inpu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Once entered, open the</w:t>
      </w:r>
      <w:r>
        <w:t xml:space="preserve"> </w:t>
      </w:r>
      <w:r>
        <w:rPr>
          <w:bCs/>
          <w:b/>
        </w:rPr>
        <w:t xml:space="preserve">Unbound parameters &amp; dose</w:t>
      </w:r>
      <w:r>
        <w:t xml:space="preserve"> </w:t>
      </w:r>
      <w:r>
        <w:t xml:space="preserve">tab. The table at the</w:t>
      </w:r>
      <w:r>
        <w:t xml:space="preserve"> </w:t>
      </w:r>
      <w:r>
        <w:t xml:space="preserve">top lists the predicted unbound parameters for your compound. Read off the</w:t>
      </w:r>
      <w:r>
        <w:t xml:space="preserve"> </w:t>
      </w:r>
      <w:r>
        <w:t xml:space="preserve">three values you will transfer to the LAI Parameter Explorer: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Human CL,u (mL/min/kg)</w:t>
      </w:r>
      <w:r>
        <w:t xml:space="preserve"> </w:t>
      </w:r>
      <w:r>
        <w:t xml:space="preserve">= 2.445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Vss,u (L/kg)</w:t>
      </w:r>
      <w:r>
        <w:t xml:space="preserve"> </w:t>
      </w:r>
      <w:r>
        <w:t xml:space="preserve">= 40 (from the</w:t>
      </w:r>
      <w:r>
        <w:t xml:space="preserve"> </w:t>
      </w:r>
      <w:r>
        <w:rPr>
          <w:iCs/>
          <w:i/>
        </w:rPr>
        <w:t xml:space="preserve">in vivo</w:t>
      </w:r>
      <w:r>
        <w:t xml:space="preserve"> </w:t>
      </w:r>
      <w:r>
        <w:t xml:space="preserve">row)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TCGLS 3D7 IC50,u (nM)</w:t>
      </w:r>
      <w:r>
        <w:t xml:space="preserve"> </w:t>
      </w:r>
      <w:r>
        <w:t xml:space="preserve">= 1.217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userguide_files/images/gs_02_mmvfree_output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0" w:name="X6db66697f89fa3491b770039dacdf18cbb8d474"/>
    <w:p>
      <w:pPr>
        <w:pStyle w:val="Heading2"/>
      </w:pPr>
      <w:r>
        <w:t xml:space="preserve">Step 2: Enter the parameters into the LAI Parameter Explorer</w:t>
      </w:r>
    </w:p>
    <w:p>
      <w:pPr>
        <w:pStyle w:val="FirstParagraph"/>
      </w:pPr>
      <w:r>
        <w:t xml:space="preserve">Open the LAI Parameter Explorer and go to the</w:t>
      </w:r>
      <w:r>
        <w:t xml:space="preserve"> </w:t>
      </w:r>
      <w:r>
        <w:rPr>
          <w:bCs/>
          <w:b/>
        </w:rPr>
        <w:t xml:space="preserve">Prediction</w:t>
      </w:r>
      <w:r>
        <w:t xml:space="preserve"> </w:t>
      </w:r>
      <w:r>
        <w:t xml:space="preserve">tab. In the left</w:t>
      </w:r>
      <w:r>
        <w:t xml:space="preserve"> </w:t>
      </w:r>
      <w:r>
        <w:t xml:space="preserve">panel, enter the values transferred from MMVFree together with the PD</w:t>
      </w:r>
      <w:r>
        <w:t xml:space="preserve"> </w:t>
      </w:r>
      <w:r>
        <w:t xml:space="preserve">parameters that are shared between the two tools: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LAI Bioavailability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Assumed (same as in MMVFree)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CL,u (mL/min/kg)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MMVFree prediction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Vss,u (L/kg)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MMVFree prediction (in vivo)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TCGLS 3D7 72h IC50,u (nM)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MMVFree prediction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Hill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 as entered in MMVFree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Log10 in vitro PRR / 48h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 as entered in MMVFree</w:t>
            </w:r>
          </w:p>
        </w:tc>
      </w:tr>
    </w:tbl>
    <w:p>
      <w:pPr>
        <w:pStyle w:val="BodyText"/>
      </w:pPr>
      <w:r>
        <w:t xml:space="preserve">The simulation runs automatically. 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panel on the right</w:t>
      </w:r>
      <w:r>
        <w:t xml:space="preserve"> </w:t>
      </w:r>
      <w:r>
        <w:t xml:space="preserve">confirms the entered values and shows the derived elimination half-life</w:t>
      </w:r>
      <w:r>
        <w:t xml:space="preserve"> </w:t>
      </w:r>
      <w:r>
        <w:t xml:space="preserve">(≈ 7.87 days) and the minimum doses for your specific CL,u / Vss,u</w:t>
      </w:r>
      <w:r>
        <w:t xml:space="preserve"> </w:t>
      </w:r>
      <w:r>
        <w:t xml:space="preserve">combination.</w:t>
      </w:r>
    </w:p>
    <w:bookmarkStart w:id="29" w:name="X7ef2e4e88eb2bb8659779aad37f8c4ec7711e0d"/>
    <w:p>
      <w:pPr>
        <w:pStyle w:val="Heading3"/>
      </w:pPr>
      <w:r>
        <w:t xml:space="preserve">Tip: skip manual entry with a pre-filled link</w:t>
      </w:r>
    </w:p>
    <w:p>
      <w:pPr>
        <w:pStyle w:val="FirstParagraph"/>
      </w:pPr>
      <w:r>
        <w:t xml:space="preserve">Instead of typing each value from the table above, you can open the LAI</w:t>
      </w:r>
      <w:r>
        <w:t xml:space="preserve"> </w:t>
      </w:r>
      <w:r>
        <w:t xml:space="preserve">Parameter Explorer with them already filled in by appending a query string</w:t>
      </w:r>
      <w:r>
        <w:t xml:space="preserve"> </w:t>
      </w:r>
      <w:r>
        <w:t xml:space="preserve">to the app’s URL. Each parameter is passed as</w:t>
      </w:r>
      <w:r>
        <w:t xml:space="preserve"> </w:t>
      </w:r>
      <w:r>
        <w:rPr>
          <w:rStyle w:val="VerbatimChar"/>
        </w:rPr>
        <w:t xml:space="preserve">name=value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. For example, appending the following to the app’s URL pre-fills</w:t>
      </w:r>
      <w:r>
        <w:t xml:space="preserve"> </w:t>
      </w:r>
      <w:r>
        <w:t xml:space="preserve">exactly the values from the table above:</w:t>
      </w:r>
    </w:p>
    <w:p>
      <w:pPr>
        <w:pStyle w:val="SourceCode"/>
      </w:pPr>
      <w:r>
        <w:rPr>
          <w:rStyle w:val="VerbatimChar"/>
        </w:rPr>
        <w:t xml:space="preserve">?LAI_Bioavailability=1&amp;Clu_mLminkg=2.445&amp;Vssu_Lkg=40&amp;IC50=1.217&amp;HillIN=6&amp;invitroPRR=3</w:t>
      </w:r>
    </w:p>
    <w:p>
      <w:pPr>
        <w:pStyle w:val="FirstParagraph"/>
      </w:pPr>
      <w:r>
        <w:t xml:space="preserve">so the full link looks like</w:t>
      </w:r>
      <w:r>
        <w:t xml:space="preserve"> </w:t>
      </w:r>
      <w:r>
        <w:rPr>
          <w:rStyle w:val="VerbatimChar"/>
        </w:rPr>
        <w:t xml:space="preserve">&lt;app URL&gt;/?LAI_Bioavailability=1&amp;Clu_mLminkg=2.445&amp;Vssu_Lkg=40&amp;IC50=1.217&amp;HillIN=6&amp;invitroPRR=3</w:t>
      </w:r>
      <w:r>
        <w:t xml:space="preserve"> </w:t>
      </w:r>
      <w:r>
        <w:t xml:space="preserve">(substitute the address you use to reach the app for</w:t>
      </w:r>
      <w:r>
        <w:t xml:space="preserve"> </w:t>
      </w:r>
      <w:r>
        <w:rPr>
          <w:rStyle w:val="VerbatimChar"/>
        </w:rPr>
        <w:t xml:space="preserve">&lt;app URL&gt;</w:t>
      </w:r>
      <w:r>
        <w:t xml:space="preserve">). Try it: it should</w:t>
      </w:r>
      <w:r>
        <w:t xml:space="preserve"> </w:t>
      </w:r>
      <w:r>
        <w:t xml:space="preserve">land you directly on the screen shown at the end of Step 2, ready to jump to</w:t>
      </w:r>
      <w:r>
        <w:t xml:space="preserve"> </w:t>
      </w:r>
      <w:r>
        <w:t xml:space="preserve">Step 3.</w:t>
      </w:r>
    </w:p>
    <w:p>
      <w:pPr>
        <w:pStyle w:val="BodyText"/>
      </w:pPr>
      <w:r>
        <w:t xml:space="preserve">Only the parameters in the table above (plus</w:t>
      </w:r>
      <w:r>
        <w:t xml:space="preserve"> </w:t>
      </w:r>
      <w:r>
        <w:rPr>
          <w:rStyle w:val="VerbatimChar"/>
        </w:rPr>
        <w:t xml:space="preserve">Mwt</w:t>
      </w:r>
      <w:r>
        <w:t xml:space="preserve">,</w:t>
      </w:r>
      <w:r>
        <w:t xml:space="preserve"> </w:t>
      </w:r>
      <w:r>
        <w:rPr>
          <w:rStyle w:val="VerbatimChar"/>
        </w:rPr>
        <w:t xml:space="preserve">kaMax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LagTime</w:t>
      </w:r>
      <w:r>
        <w:t xml:space="preserve">)</w:t>
      </w:r>
      <w:r>
        <w:t xml:space="preserve"> </w:t>
      </w:r>
      <w:r>
        <w:t xml:space="preserve">can be set this way; any value that is missing or cannot be parsed is left</w:t>
      </w:r>
      <w:r>
        <w:t xml:space="preserve"> </w:t>
      </w:r>
      <w:r>
        <w:t xml:space="preserve">at its default. See the Reference Guide for the full list of accepted</w:t>
      </w:r>
      <w:r>
        <w:t xml:space="preserve"> </w:t>
      </w:r>
      <w:r>
        <w:t xml:space="preserve">parameter names and units.</w:t>
      </w:r>
    </w:p>
    <w:bookmarkEnd w:id="29"/>
    <w:bookmarkEnd w:id="30"/>
    <w:bookmarkStart w:id="37" w:name="Xc93639b6128b093a555454ae64bd6272fe3e16b"/>
    <w:p>
      <w:pPr>
        <w:pStyle w:val="Heading2"/>
      </w:pPr>
      <w:r>
        <w:t xml:space="preserve">Step 3: Explore the Max MIC,u plot: answering question 1</w:t>
      </w:r>
    </w:p>
    <w:p>
      <w:pPr>
        <w:pStyle w:val="FirstParagraph"/>
      </w:pPr>
      <w:r>
        <w:t xml:space="preserve">By default, the</w:t>
      </w:r>
      <w:r>
        <w:t xml:space="preserve"> </w:t>
      </w:r>
      <w:r>
        <w:rPr>
          <w:bCs/>
          <w:b/>
        </w:rPr>
        <w:t xml:space="preserve">Type of Main Plot</w:t>
      </w:r>
      <w:r>
        <w:t xml:space="preserve"> </w:t>
      </w:r>
      <w:r>
        <w:t xml:space="preserve">dropdown is set to</w:t>
      </w:r>
      <w:r>
        <w:t xml:space="preserve"> </w:t>
      </w:r>
      <w:r>
        <w:rPr>
          <w:bCs/>
          <w:b/>
        </w:rPr>
        <w:t xml:space="preserve">Max MIC,u</w:t>
      </w:r>
      <w:r>
        <w:t xml:space="preserve">. The</w:t>
      </w:r>
      <w:r>
        <w:t xml:space="preserve"> </w:t>
      </w:r>
      <w:r>
        <w:t xml:space="preserve">plot answers the first question:</w:t>
      </w:r>
      <w:r>
        <w:t xml:space="preserve"> </w:t>
      </w:r>
      <w:r>
        <w:rPr>
          <w:iCs/>
          <w:i/>
        </w:rPr>
        <w:t xml:space="preserve">what is the largest in-vivo MIC,u that</w:t>
      </w:r>
      <w:r>
        <w:rPr>
          <w:iCs/>
          <w:i/>
        </w:rPr>
        <w:t xml:space="preserve"> </w:t>
      </w:r>
      <w:r>
        <w:rPr>
          <w:iCs/>
          <w:i/>
        </w:rPr>
        <w:t xml:space="preserve">the standard 400 mg dose would still cover for 3 months?</w:t>
      </w:r>
    </w:p>
    <w:p>
      <w:pPr>
        <w:pStyle w:val="BodyText"/>
      </w:pPr>
      <w:r>
        <w:t xml:space="preserve">Each cell shows the maximum in-vivo MIC,u (nM) that the 400 mg dose would</w:t>
      </w:r>
      <w:r>
        <w:t xml:space="preserve"> </w:t>
      </w:r>
      <w:r>
        <w:t xml:space="preserve">maintain above the MIC threshold for the selected coverage duration. Cells</w:t>
      </w:r>
      <w:r>
        <w:t xml:space="preserve"> </w:t>
      </w:r>
      <w:r>
        <w:t xml:space="preserve">with larger max MIC,u values are more favourable in the sense that even if the drug is not highly potent (does not have a small MIC,u), a 400 mg dose would still maintain concentrations high enough to prevent infection for the selected duration. The grey dot marks 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position on the grid.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userguide_files/images/gs_03_lai_maxmicu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Click a cell adjacent to 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dot to compare how nearby PK</w:t>
      </w:r>
      <w:r>
        <w:t xml:space="preserve"> </w:t>
      </w:r>
      <w:r>
        <w:t xml:space="preserve">combinations perform. The selected cell is highlighted, its coordinates appear</w:t>
      </w:r>
      <w:r>
        <w:t xml:space="preserve"> </w:t>
      </w:r>
      <w:r>
        <w:t xml:space="preserve">below the plot, and the</w:t>
      </w:r>
      <w:r>
        <w:t xml:space="preserve"> </w:t>
      </w:r>
      <w:r>
        <w:rPr>
          <w:bCs/>
          <w:b/>
        </w:rPr>
        <w:t xml:space="preserve">PK profile</w:t>
      </w:r>
      <w:r>
        <w:t xml:space="preserve"> </w:t>
      </w:r>
      <w:r>
        <w:t xml:space="preserve">panel updates to overlay the</w:t>
      </w:r>
      <w:r>
        <w:t xml:space="preserve"> </w:t>
      </w:r>
      <w:r>
        <w:t xml:space="preserve">concentration-time curve for the selected cell alongside Your Drug’s curve.</w:t>
      </w:r>
      <w:r>
        <w:t xml:space="preserve"> </w:t>
      </w:r>
      <w:r>
        <w:t xml:space="preserve">This lets you see the PK shape that underlies the Max MIC,u answer.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userguide_files/images/gs_04_lai_maxmicu_selected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Xe5165c9bf69348aa2429118728e3c6ec23ba4e9"/>
    <w:p>
      <w:pPr>
        <w:pStyle w:val="Heading2"/>
      </w:pPr>
      <w:r>
        <w:t xml:space="preserve">Step 4: Switch to the Min Dose plot: answering question 2</w:t>
      </w:r>
    </w:p>
    <w:p>
      <w:pPr>
        <w:pStyle w:val="FirstParagraph"/>
      </w:pPr>
      <w:r>
        <w:t xml:space="preserve">Change the</w:t>
      </w:r>
      <w:r>
        <w:t xml:space="preserve"> </w:t>
      </w:r>
      <w:r>
        <w:rPr>
          <w:bCs/>
          <w:b/>
        </w:rPr>
        <w:t xml:space="preserve">Type of Main Plot</w:t>
      </w:r>
      <w:r>
        <w:t xml:space="preserve"> </w:t>
      </w:r>
      <w:r>
        <w:t xml:space="preserve">dropdown to</w:t>
      </w:r>
      <w:r>
        <w:t xml:space="preserve"> </w:t>
      </w:r>
      <w:r>
        <w:rPr>
          <w:bCs/>
          <w:b/>
        </w:rPr>
        <w:t xml:space="preserve">Min Dose</w:t>
      </w:r>
      <w:r>
        <w:t xml:space="preserve">. The grid cells now</w:t>
      </w:r>
      <w:r>
        <w:t xml:space="preserve"> </w:t>
      </w:r>
      <w:r>
        <w:t xml:space="preserve">show a heatmap of the minimum dose (mg) required to keep the unbound plasma concentration</w:t>
      </w:r>
      <w:r>
        <w:t xml:space="preserve"> </w:t>
      </w:r>
      <w:r>
        <w:t xml:space="preserve">above the in-vivo MIC,u for the selected coverage duration - answering the</w:t>
      </w:r>
      <w:r>
        <w:t xml:space="preserve"> </w:t>
      </w:r>
      <w:r>
        <w:t xml:space="preserve">second question.</w:t>
      </w:r>
    </w:p>
    <w:p>
      <w:pPr>
        <w:pStyle w:val="BodyText"/>
      </w:pPr>
      <w:r>
        <w:t xml:space="preserve">Cells are colour-coded:</w:t>
      </w:r>
      <w:r>
        <w:t xml:space="preserve"> </w:t>
      </w:r>
      <w:r>
        <w:rPr>
          <w:bCs/>
          <w:b/>
        </w:rPr>
        <w:t xml:space="preserve">green</w:t>
      </w:r>
      <w:r>
        <w:t xml:space="preserve"> </w:t>
      </w:r>
      <w:r>
        <w:t xml:space="preserve">(≤ 400 mg, meets the MMV criteria for late</w:t>
      </w:r>
      <w:r>
        <w:t xml:space="preserve"> </w:t>
      </w:r>
      <w:r>
        <w:t xml:space="preserve">lead),</w:t>
      </w:r>
      <w:r>
        <w:t xml:space="preserve"> </w:t>
      </w:r>
      <w:r>
        <w:rPr>
          <w:bCs/>
          <w:b/>
        </w:rPr>
        <w:t xml:space="preserve">orange</w:t>
      </w:r>
      <w:r>
        <w:t xml:space="preserve"> </w:t>
      </w:r>
      <w:r>
        <w:t xml:space="preserve">(401-999 mg), and</w:t>
      </w:r>
      <w:r>
        <w:t xml:space="preserve"> </w:t>
      </w:r>
      <w:r>
        <w:rPr>
          <w:bCs/>
          <w:b/>
        </w:rPr>
        <w:t xml:space="preserve">red</w:t>
      </w:r>
      <w:r>
        <w:t xml:space="preserve"> </w:t>
      </w:r>
      <w:r>
        <w:t xml:space="preserve">(≥ 1000 mg). 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dot and the selected cell carry over from the previous view, so you can read</w:t>
      </w:r>
      <w:r>
        <w:t xml:space="preserve"> </w:t>
      </w:r>
      <w:r>
        <w:t xml:space="preserve">off the minimum dose for the same cell you just explored on the Max MIC,u</w:t>
      </w:r>
      <w:r>
        <w:t xml:space="preserve"> </w:t>
      </w:r>
      <w:r>
        <w:t xml:space="preserve">plot.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userguide_files/images/gs_05_lai_mindos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step-5-explore-pk-profiles"/>
    <w:p>
      <w:pPr>
        <w:pStyle w:val="Heading2"/>
      </w:pPr>
      <w:r>
        <w:t xml:space="preserve">Step 5: Explore PK profiles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PK profile</w:t>
      </w:r>
      <w:r>
        <w:t xml:space="preserve"> </w:t>
      </w:r>
      <w:r>
        <w:t xml:space="preserve">panel below the main plot lets you visualise the</w:t>
      </w:r>
      <w:r>
        <w:t xml:space="preserve"> </w:t>
      </w:r>
      <w:r>
        <w:t xml:space="preserve">simulated concentration-time curves that underlie the dose and MIC,u predictions. Use the</w:t>
      </w:r>
      <w:r>
        <w:t xml:space="preserve"> </w:t>
      </w:r>
      <w:r>
        <w:rPr>
          <w:bCs/>
          <w:b/>
        </w:rPr>
        <w:t xml:space="preserve">PK profile: dose scenarios</w:t>
      </w:r>
      <w:r>
        <w:t xml:space="preserve"> </w:t>
      </w:r>
      <w:r>
        <w:t xml:space="preserve">tickbox table in the lower left panel to</w:t>
      </w:r>
      <w:r>
        <w:t xml:space="preserve"> </w:t>
      </w:r>
      <w:r>
        <w:t xml:space="preserve">overlay different combinations.</w:t>
      </w:r>
    </w:p>
    <w:p>
      <w:pPr>
        <w:pStyle w:val="BodyText"/>
      </w:pPr>
      <w:r>
        <w:t xml:space="preserve">An important point to keep in mind: the only PK difference between</w:t>
      </w:r>
      <w:r>
        <w:t xml:space="preserve"> </w:t>
      </w:r>
      <w:r>
        <w:rPr>
          <w:bCs/>
          <w:b/>
        </w:rPr>
        <w:t xml:space="preserve">Your</w:t>
      </w:r>
      <w:r>
        <w:rPr>
          <w:bCs/>
          <w:b/>
        </w:rPr>
        <w:t xml:space="preserve"> </w:t>
      </w:r>
      <w:r>
        <w:rPr>
          <w:bCs/>
          <w:b/>
        </w:rPr>
        <w:t xml:space="preserve">Drug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Selected Cell</w:t>
      </w:r>
      <w:r>
        <w:t xml:space="preserve"> </w:t>
      </w:r>
      <w:r>
        <w:t xml:space="preserve">is their CL,u and Vss,u values. All PD</w:t>
      </w:r>
      <w:r>
        <w:t xml:space="preserve"> </w:t>
      </w:r>
      <w:r>
        <w:t xml:space="preserve">parameters - IC50,u, Hill Slope, Log10 PRR - are the same for both. The</w:t>
      </w:r>
      <w:r>
        <w:t xml:space="preserve"> </w:t>
      </w:r>
      <w:r>
        <w:t xml:space="preserve">selected cell simply represents a different point on the PK grid.</w:t>
      </w:r>
    </w:p>
    <w:p>
      <w:pPr>
        <w:pStyle w:val="BodyText"/>
      </w:pPr>
      <w:r>
        <w:t xml:space="preserve">By default, two curves are shown for each absorption scenario: Your Drug at</w:t>
      </w:r>
      <w:r>
        <w:t xml:space="preserve"> </w:t>
      </w:r>
      <w:r>
        <w:t xml:space="preserve">its own minimum dose (</w:t>
      </w:r>
      <w:r>
        <w:t xml:space="preserve">dark grey, solid</w:t>
      </w:r>
      <w:r>
        <w:t xml:space="preserve">)</w:t>
      </w:r>
      <w:r>
        <w:t xml:space="preserve"> </w:t>
      </w:r>
      <w:r>
        <w:t xml:space="preserve">and the Selected Cell at its own minimum dose</w:t>
      </w:r>
      <w:r>
        <w:t xml:space="preserve"> </w:t>
      </w:r>
      <w:r>
        <w:t xml:space="preserve">(</w:t>
      </w:r>
      <w:r>
        <w:t xml:space="preserve">blue, long-dashed</w:t>
      </w:r>
      <w:r>
        <w:t xml:space="preserve">). To add a third curve,</w:t>
      </w:r>
      <w:r>
        <w:t xml:space="preserve"> </w:t>
      </w:r>
      <w:r>
        <w:t xml:space="preserve">tick</w:t>
      </w:r>
      <w:r>
        <w:t xml:space="preserve"> </w:t>
      </w:r>
      <w:r>
        <w:rPr>
          <w:bCs/>
          <w:b/>
        </w:rPr>
        <w:t xml:space="preserve">MMV Criteria for Late Lead / Your Drug</w:t>
      </w:r>
      <w:r>
        <w:t xml:space="preserve">: this overlays Your Drug’s</w:t>
      </w:r>
      <w:r>
        <w:t xml:space="preserve"> </w:t>
      </w:r>
      <w:r>
        <w:t xml:space="preserve">concentration-time profile at the fixed 400 mg dose</w:t>
      </w:r>
      <w:r>
        <w:t xml:space="preserve"> </w:t>
      </w:r>
      <w:r>
        <w:t xml:space="preserve">(</w:t>
      </w:r>
      <w:r>
        <w:t xml:space="preserve">red, solid</w:t>
      </w:r>
      <w:r>
        <w:t xml:space="preserve">), letting you see whether 400 mg</w:t>
      </w:r>
      <w:r>
        <w:t xml:space="preserve"> </w:t>
      </w:r>
      <w:r>
        <w:t xml:space="preserve">keeps Your Drug above the MIC for the full coverage period.</w:t>
      </w:r>
    </w:p>
    <w:p>
      <w:pPr>
        <w:pStyle w:val="BodyText"/>
      </w:pPr>
      <w:r>
        <w:drawing>
          <wp:inline>
            <wp:extent cx="5334000" cy="209890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userguide_files/images/gs_06_pk_explor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screenshot above, the fast-absorption panel shows that Your Drug at its</w:t>
      </w:r>
      <w:r>
        <w:t xml:space="preserve"> </w:t>
      </w:r>
      <w:r>
        <w:t xml:space="preserve">own minimum dose (298 mg, dark grey) and at 400 mg (red) both maintain the</w:t>
      </w:r>
      <w:r>
        <w:t xml:space="preserve"> </w:t>
      </w:r>
      <w:r>
        <w:t xml:space="preserve">concentration above the MIC,u line throughout the 3-month period, while the</w:t>
      </w:r>
      <w:r>
        <w:t xml:space="preserve"> </w:t>
      </w:r>
      <w:r>
        <w:t xml:space="preserve">selected cell - which has higher CL,u and Vss,u - would require 2524 mg</w:t>
      </w:r>
      <w:r>
        <w:t xml:space="preserve"> </w:t>
      </w:r>
      <w:r>
        <w:t xml:space="preserve">(blue, dashed) to achieve the same coverage.</w:t>
      </w:r>
    </w:p>
    <w:bookmarkEnd w:id="45"/>
    <w:bookmarkEnd w:id="46"/>
    <w:bookmarkStart w:id="56" w:name="reference-guide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Reference Guide</w:t>
      </w:r>
    </w:p>
    <w:p>
      <w:pPr>
        <w:pStyle w:val="FirstParagraph"/>
      </w:pPr>
      <w:r>
        <w:t xml:space="preserve">This chapter is a complete reference for every input, output, and interactive</w:t>
      </w:r>
      <w:r>
        <w:t xml:space="preserve"> </w:t>
      </w:r>
      <w:r>
        <w:t xml:space="preserve">feature of the</w:t>
      </w:r>
      <w:r>
        <w:t xml:space="preserve"> </w:t>
      </w:r>
      <w:r>
        <w:rPr>
          <w:bCs/>
          <w:b/>
        </w:rPr>
        <w:t xml:space="preserve">Prediction</w:t>
      </w:r>
      <w:r>
        <w:t xml:space="preserve"> </w:t>
      </w:r>
      <w:r>
        <w:t xml:space="preserve">tab. For a guided walkthrough of a typical</w:t>
      </w:r>
      <w:r>
        <w:t xml:space="preserve"> </w:t>
      </w:r>
      <w:r>
        <w:t xml:space="preserve">workflow, see Chapter</w:t>
      </w:r>
      <w:r>
        <w:t xml:space="preserve"> </w:t>
      </w:r>
      <w:r>
        <w:t xml:space="preserve">1</w:t>
      </w:r>
      <w:r>
        <w:t xml:space="preserve">.</w:t>
      </w:r>
    </w:p>
    <w:bookmarkStart w:id="51" w:name="left-panel-inputs"/>
    <w:p>
      <w:pPr>
        <w:pStyle w:val="Heading2"/>
      </w:pPr>
      <w:r>
        <w:t xml:space="preserve">Left panel inputs</w:t>
      </w:r>
    </w:p>
    <w:bookmarkStart w:id="47" w:name="simulation-parameters"/>
    <w:p>
      <w:pPr>
        <w:pStyle w:val="Heading3"/>
      </w:pPr>
      <w:r>
        <w:t xml:space="preserve">Simulation parameters</w:t>
      </w:r>
    </w:p>
    <w:p>
      <w:pPr>
        <w:pStyle w:val="FirstParagraph"/>
      </w:pPr>
      <w:r>
        <w:rPr>
          <w:bCs/>
          <w:b/>
        </w:rPr>
        <w:t xml:space="preserve">Type of Main Plot</w:t>
      </w:r>
      <w:r>
        <w:t xml:space="preserve">: switches the main heatmap between two views: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Max MIC,u</w:t>
      </w:r>
      <w:r>
        <w:t xml:space="preserve"> </w:t>
      </w:r>
      <w:r>
        <w:t xml:space="preserve">- each cell shows the largest in-vivo MIC,u (nM) that the</w:t>
      </w:r>
      <w:r>
        <w:t xml:space="preserve"> </w:t>
      </w:r>
      <w:r>
        <w:t xml:space="preserve">400 mg MMV Critical Late-Lead dose would cover for the selected duration</w:t>
      </w:r>
      <w:r>
        <w:t xml:space="preserve"> </w:t>
      </w:r>
      <w:r>
        <w:t xml:space="preserve">(answering question 1 from the Introduction).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Min Dose</w:t>
      </w:r>
      <w:r>
        <w:t xml:space="preserve"> </w:t>
      </w:r>
      <w:r>
        <w:t xml:space="preserve">- each cell shows the minimum dose (mg) needed to maintain</w:t>
      </w:r>
      <w:r>
        <w:t xml:space="preserve"> </w:t>
      </w:r>
      <w:r>
        <w:t xml:space="preserve">unbound plasma concentration above the in-vivo MIC,u for the selected</w:t>
      </w:r>
      <w:r>
        <w:t xml:space="preserve"> </w:t>
      </w:r>
      <w:r>
        <w:t xml:space="preserve">duration (answering question 2).</w:t>
      </w:r>
    </w:p>
    <w:p>
      <w:pPr>
        <w:pStyle w:val="FirstParagraph"/>
      </w:pPr>
      <w:r>
        <w:rPr>
          <w:bCs/>
          <w:b/>
        </w:rPr>
        <w:t xml:space="preserve">Cover Duration</w:t>
      </w:r>
      <w:r>
        <w:t xml:space="preserve">: the target coverage period in months (3, 6, or a custom</w:t>
      </w:r>
      <w:r>
        <w:t xml:space="preserve"> </w:t>
      </w:r>
      <w:r>
        <w:t xml:space="preserve">value). All dose and MIC,u calculations are performed for this duration.</w:t>
      </w:r>
    </w:p>
    <w:p>
      <w:pPr>
        <w:pStyle w:val="BodyText"/>
      </w:pPr>
      <w:r>
        <w:rPr>
          <w:bCs/>
          <w:b/>
        </w:rPr>
        <w:t xml:space="preserve">LAI Bioavailability</w:t>
      </w:r>
      <w:r>
        <w:t xml:space="preserve">: the fraction of the injected dose that reaches</w:t>
      </w:r>
      <w:r>
        <w:t xml:space="preserve"> </w:t>
      </w:r>
      <w:r>
        <w:t xml:space="preserve">systemic circulation (0-1). For an LAI formulation without first-pass</w:t>
      </w:r>
      <w:r>
        <w:t xml:space="preserve"> </w:t>
      </w:r>
      <w:r>
        <w:t xml:space="preserve">metabolism the bioavailability equals the fraction absorbed. Default: 0.8.</w:t>
      </w:r>
    </w:p>
    <w:p>
      <w:pPr>
        <w:pStyle w:val="BodyText"/>
      </w:pPr>
      <w:r>
        <w:rPr>
          <w:bCs/>
          <w:b/>
        </w:rPr>
        <w:t xml:space="preserve">Molecular Weight [Da]</w:t>
      </w:r>
      <w:r>
        <w:t xml:space="preserve">: used to convert IC50 between nM and ng/mL for</w:t>
      </w:r>
      <w:r>
        <w:t xml:space="preserve"> </w:t>
      </w:r>
      <w:r>
        <w:t xml:space="preserve">display. Default: 420 Da.</w:t>
      </w:r>
    </w:p>
    <w:bookmarkEnd w:id="47"/>
    <w:bookmarkStart w:id="48" w:name="pk-parameters"/>
    <w:p>
      <w:pPr>
        <w:pStyle w:val="Heading3"/>
      </w:pPr>
      <w:r>
        <w:t xml:space="preserve">PK parameters</w:t>
      </w:r>
    </w:p>
    <w:p>
      <w:pPr>
        <w:pStyle w:val="FirstParagraph"/>
      </w:pPr>
      <w:r>
        <w:rPr>
          <w:bCs/>
          <w:b/>
        </w:rPr>
        <w:t xml:space="preserve">ka fast / ka slow (1/hour)</w:t>
      </w:r>
      <w:r>
        <w:t xml:space="preserve">: the two absorption rate constants that define</w:t>
      </w:r>
      <w:r>
        <w:t xml:space="preserve"> </w:t>
      </w:r>
      <w:r>
        <w:t xml:space="preserve">the fast and slow LAI absorption scenarios. The main heatmap and PK profile</w:t>
      </w:r>
      <w:r>
        <w:t xml:space="preserve"> </w:t>
      </w:r>
      <w:r>
        <w:t xml:space="preserve">panel display both scenarios side by side. Reference values (defaults) are</w:t>
      </w:r>
      <w:r>
        <w:t xml:space="preserve"> </w:t>
      </w:r>
      <w:r>
        <w:t xml:space="preserve">based on known human absorption rates: medroxyprogesterone acetate (fast,</w:t>
      </w:r>
      <w:r>
        <w:t xml:space="preserve"> </w:t>
      </w:r>
      <w:r>
        <w:t xml:space="preserve">ka ≈ 2.98 × 10⁻³ /h, absorption t½ ≈ 10 days) and levonorgestrel</w:t>
      </w:r>
      <w:r>
        <w:t xml:space="preserve"> </w:t>
      </w:r>
      <w:r>
        <w:t xml:space="preserve">butanoate (slow, ka ≈ 2.08 × 10⁻⁴ /h, absorption t½ ≈ 139 days).</w:t>
      </w:r>
    </w:p>
    <w:p>
      <w:pPr>
        <w:pStyle w:val="BodyText"/>
      </w:pPr>
      <w:r>
        <w:rPr>
          <w:bCs/>
          <w:b/>
        </w:rPr>
        <w:t xml:space="preserve">CL,u (mL/min/kg)</w:t>
      </w:r>
      <w:r>
        <w:t xml:space="preserve">: unbound systemic clearance. Together with</w:t>
      </w:r>
      <w:r>
        <w:t xml:space="preserve"> </w:t>
      </w:r>
      <w:r>
        <w:t xml:space="preserve">Vss,u it determines the elimination half-life and the shape of the</w:t>
      </w:r>
      <w:r>
        <w:t xml:space="preserve"> </w:t>
      </w:r>
      <w:r>
        <w:t xml:space="preserve">concentration-time curve.</w:t>
      </w:r>
    </w:p>
    <w:p>
      <w:pPr>
        <w:pStyle w:val="BodyText"/>
      </w:pPr>
      <w:r>
        <w:rPr>
          <w:bCs/>
          <w:b/>
        </w:rPr>
        <w:t xml:space="preserve">Vss,u (L/kg)</w:t>
      </w:r>
      <w:r>
        <w:t xml:space="preserve">: unbound steady-state volume of distribution.</w:t>
      </w:r>
      <w:r>
        <w:t xml:space="preserve"> </w:t>
      </w:r>
      <w:r>
        <w:t xml:space="preserve">Together with CL,u it determines the elimination half-life:</w:t>
      </w:r>
      <w:r>
        <w:t xml:space="preserve"> </w:t>
      </w:r>
      <w:r>
        <w:t xml:space="preserve">t½ = ln(2) × Vss,u / CL,u.</w:t>
      </w:r>
    </w:p>
    <w:bookmarkEnd w:id="48"/>
    <w:bookmarkStart w:id="49" w:name="pd-parameters"/>
    <w:p>
      <w:pPr>
        <w:pStyle w:val="Heading3"/>
      </w:pPr>
      <w:r>
        <w:t xml:space="preserve">PD parameters</w:t>
      </w:r>
    </w:p>
    <w:p>
      <w:pPr>
        <w:pStyle w:val="FirstParagraph"/>
      </w:pPr>
      <w:r>
        <w:rPr>
          <w:bCs/>
          <w:b/>
        </w:rPr>
        <w:t xml:space="preserve">TCGLS 3D7 72h IC50,u (nM)</w:t>
      </w:r>
      <w:r>
        <w:t xml:space="preserve">: in-vitro unbound IC50 from the TCGLS 3D7</w:t>
      </w:r>
      <w:r>
        <w:t xml:space="preserve"> </w:t>
      </w:r>
      <w:r>
        <w:t xml:space="preserve">72-hour growth-inhibition assay, corrected for assay protein binding.</w:t>
      </w:r>
    </w:p>
    <w:p>
      <w:pPr>
        <w:pStyle w:val="BodyText"/>
      </w:pPr>
      <w:r>
        <w:rPr>
          <w:bCs/>
          <w:b/>
        </w:rPr>
        <w:t xml:space="preserve">Hill Slope</w:t>
      </w:r>
      <w:r>
        <w:t xml:space="preserve">: the steepness of the concentration-effect (sigmoidal E</w:t>
      </w:r>
      <w:r>
        <w:rPr>
          <w:vertAlign w:val="subscript"/>
        </w:rPr>
        <w:t xml:space="preserve">max</w:t>
      </w:r>
      <w:r>
        <w:t xml:space="preserve">)</w:t>
      </w:r>
      <w:r>
        <w:t xml:space="preserve"> </w:t>
      </w:r>
      <w:r>
        <w:t xml:space="preserve">relationship.</w:t>
      </w:r>
    </w:p>
    <w:p>
      <w:pPr>
        <w:pStyle w:val="BodyText"/>
      </w:pPr>
      <w:r>
        <w:rPr>
          <w:bCs/>
          <w:b/>
        </w:rPr>
        <w:t xml:space="preserve">Log10 in vitro PRR / 48h</w:t>
      </w:r>
      <w:r>
        <w:t xml:space="preserve">: base-10 logarithm of the in-vitro parasite</w:t>
      </w:r>
      <w:r>
        <w:t xml:space="preserve"> </w:t>
      </w:r>
      <w:r>
        <w:t xml:space="preserve">reduction ratio per 48-hour cycle. Together with IC50,u and Hill Slope, it is</w:t>
      </w:r>
      <w:r>
        <w:t xml:space="preserve"> </w:t>
      </w:r>
      <w:r>
        <w:t xml:space="preserve">used to derive the in-vivo MIC,u.</w:t>
      </w:r>
    </w:p>
    <w:p>
      <w:pPr>
        <w:pStyle w:val="BodyText"/>
      </w:pPr>
      <w:r>
        <w:rPr>
          <w:bCs/>
          <w:b/>
        </w:rPr>
        <w:t xml:space="preserve">PRR Lag Time (hr)</w:t>
      </w:r>
      <w:r>
        <w:t xml:space="preserve">: the delay (in hours) before the antiparasitic effect</w:t>
      </w:r>
      <w:r>
        <w:t xml:space="preserve"> </w:t>
      </w:r>
      <w:r>
        <w:t xml:space="preserve">begins. Default: 0.</w:t>
      </w:r>
    </w:p>
    <w:bookmarkEnd w:id="49"/>
    <w:bookmarkStart w:id="50" w:name="pk-profile-dose-scenarios"/>
    <w:p>
      <w:pPr>
        <w:pStyle w:val="Heading3"/>
      </w:pPr>
      <w:r>
        <w:t xml:space="preserve">PK profile: dose scenarios</w:t>
      </w:r>
    </w:p>
    <w:p>
      <w:pPr>
        <w:pStyle w:val="FirstParagraph"/>
      </w:pPr>
      <w:r>
        <w:t xml:space="preserve">The tickbox table in the lower left panel is a 3 x 2 grid. Each row selects</w:t>
      </w:r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dose</w:t>
      </w:r>
      <w:r>
        <w:t xml:space="preserve"> </w:t>
      </w:r>
      <w:r>
        <w:t xml:space="preserve">to simulate; each column selects</w:t>
      </w:r>
      <w:r>
        <w:t xml:space="preserve"> </w:t>
      </w:r>
      <w:r>
        <w:rPr>
          <w:bCs/>
          <w:b/>
        </w:rPr>
        <w:t xml:space="preserve">whose PK</w:t>
      </w:r>
      <w:r>
        <w:t xml:space="preserve"> </w:t>
      </w:r>
      <w:r>
        <w:t xml:space="preserve">(CL,u / Vss,u) to</w:t>
      </w:r>
      <w:r>
        <w:t xml:space="preserve"> </w:t>
      </w:r>
      <w:r>
        <w:t xml:space="preserve">use. Ticking a cell adds the corresponding curve to the PK profile panel.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column</w:t>
      </w:r>
      <w:r>
        <w:t xml:space="preserve"> </w:t>
      </w:r>
      <w:r>
        <w:t xml:space="preserve">determines the line type: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Your Drug</w:t>
      </w:r>
      <w:r>
        <w:t xml:space="preserve"> </w:t>
      </w:r>
      <w:r>
        <w:t xml:space="preserve">- solid line, using your entered CL,u and Vss,u.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Selected Cell</w:t>
      </w:r>
      <w:r>
        <w:t xml:space="preserve"> </w:t>
      </w:r>
      <w:r>
        <w:t xml:space="preserve">- long-dashed line, using the CL,u and Vss,u of the</w:t>
      </w:r>
      <w:r>
        <w:t xml:space="preserve"> </w:t>
      </w:r>
      <w:r>
        <w:t xml:space="preserve">grid cell most recently clicked in the main heatmap.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row</w:t>
      </w:r>
      <w:r>
        <w:t xml:space="preserve"> </w:t>
      </w:r>
      <w:r>
        <w:t xml:space="preserve">determines the dose and the curve colour: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Dose (row)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Drug column (solid)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Selected Cell column (long-dashed)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Min Dose for Your Drug</w:t>
            </w:r>
            <w:r>
              <w:t xml:space="preserve"> </w:t>
            </w:r>
            <w:r>
              <w:t xml:space="preserve">(dark grey)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Drug’s PK at its own min dose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Selected Cell’s PK at Your Drug’s min dose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Min Dose of Selected Cell</w:t>
            </w:r>
            <w:r>
              <w:t xml:space="preserve"> </w:t>
            </w:r>
            <w:r>
              <w:t xml:space="preserve">(blue)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Drug’s PK at the Selected Cell’s min dose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Selected Cell’s PK at its own min dose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MMV Criteria for Late Lead, 400 mg</w:t>
            </w:r>
            <w:r>
              <w:t xml:space="preserve"> </w:t>
            </w:r>
            <w:r>
              <w:t xml:space="preserve">(red)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Drug’s PK at 400 mg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Selected Cell’s PK at 400 mg</w:t>
            </w:r>
          </w:p>
        </w:tc>
      </w:tr>
    </w:tbl>
    <w:p>
      <w:pPr>
        <w:pStyle w:val="BodyText"/>
      </w:pPr>
      <w:r>
        <w:t xml:space="preserve">By default two cells are ticked:</w:t>
      </w:r>
      <w:r>
        <w:t xml:space="preserve"> </w:t>
      </w:r>
      <w:r>
        <w:rPr>
          <w:bCs/>
          <w:b/>
        </w:rPr>
        <w:t xml:space="preserve">Min Dose</w:t>
      </w:r>
      <w:r>
        <w:rPr>
          <w:bCs/>
          <w:b/>
        </w:rPr>
        <w:t xml:space="preserve"> </w:t>
      </w:r>
      <w:r>
        <w:rPr>
          <w:bCs/>
          <w:b/>
        </w:rPr>
        <w:t xml:space="preserve">for Your Drug / Your Drug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Min Dose</w:t>
      </w:r>
      <w:r>
        <w:rPr>
          <w:bCs/>
          <w:b/>
        </w:rPr>
        <w:t xml:space="preserve"> </w:t>
      </w:r>
      <w:r>
        <w:rPr>
          <w:bCs/>
          <w:b/>
        </w:rPr>
        <w:t xml:space="preserve">of Selected Cell / Selected Cell</w:t>
      </w:r>
      <w:r>
        <w:t xml:space="preserve">. This shows Your Drug’s curve at its</w:t>
      </w:r>
      <w:r>
        <w:t xml:space="preserve"> </w:t>
      </w:r>
      <w:r>
        <w:t xml:space="preserve">own minimum dose alongside the Selected Cell’s curve at its own minimum dose -</w:t>
      </w:r>
      <w:r>
        <w:t xml:space="preserve"> </w:t>
      </w:r>
      <w:r>
        <w:t xml:space="preserve">a direct comparison of how the two PK combinations perform at their respective</w:t>
      </w:r>
      <w:r>
        <w:t xml:space="preserve"> </w:t>
      </w:r>
      <w:r>
        <w:t xml:space="preserve">optimal doses.</w:t>
      </w:r>
    </w:p>
    <w:bookmarkEnd w:id="50"/>
    <w:bookmarkEnd w:id="51"/>
    <w:bookmarkStart w:id="52" w:name="loading-parameters-from-a-url"/>
    <w:p>
      <w:pPr>
        <w:pStyle w:val="Heading2"/>
      </w:pPr>
      <w:r>
        <w:t xml:space="preserve">Loading parameters from a URL</w:t>
      </w:r>
    </w:p>
    <w:p>
      <w:pPr>
        <w:pStyle w:val="FirstParagraph"/>
      </w:pPr>
      <w:r>
        <w:t xml:space="preserve">Instead of entering values by hand, most of the parameters above can be</w:t>
      </w:r>
      <w:r>
        <w:t xml:space="preserve"> </w:t>
      </w:r>
      <w:r>
        <w:t xml:space="preserve">pre-filled by appending a query string to the app’s URL, e.g.</w:t>
      </w:r>
      <w:r>
        <w:t xml:space="preserve"> </w:t>
      </w:r>
      <w:r>
        <w:rPr>
          <w:rStyle w:val="VerbatimChar"/>
        </w:rPr>
        <w:t xml:space="preserve">&lt;app URL&gt;/?LAI_Bioavailability=1&amp;Clu_mLminkg=2.445&amp;Vssu_Lkg=40&amp;IC50=1.217&amp;HillIN=6&amp;invitroPRR=3</w:t>
      </w:r>
      <w:r>
        <w:t xml:space="preserve"> </w:t>
      </w:r>
      <w:r>
        <w:t xml:space="preserve">(the same example used in Section</w:t>
      </w:r>
      <w:r>
        <w:t xml:space="preserve"> </w:t>
      </w:r>
      <w:r>
        <w:t xml:space="preserve">1</w:t>
      </w:r>
      <w:r>
        <w:t xml:space="preserve">). This is intended</w:t>
      </w:r>
      <w:r>
        <w:t xml:space="preserve"> </w:t>
      </w:r>
      <w:r>
        <w:t xml:space="preserve">primarily as the landing point for a link from another MMV tool such as</w:t>
      </w:r>
      <w:r>
        <w:t xml:space="preserve"> </w:t>
      </w:r>
      <w:r>
        <w:t xml:space="preserve">MMVFree, but you can also construct one by hand or bookmark one for a</w:t>
      </w:r>
      <w:r>
        <w:t xml:space="preserve"> </w:t>
      </w:r>
      <w:r>
        <w:t xml:space="preserve">compound you return to often.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URL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Left panel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Mwt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Molecular Weight [Da]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kaMax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 fast (1/hour)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1/hour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Clu_mLminkg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CL,u [mL/min/kg]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Vssu_Lkg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Vss,u [L/kg]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IC50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TCGLS 3D7 72h IC50,u [nM]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HillIN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Hill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 Exponent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invitroPRR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Log10 in vitro PRR / 48h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Log10 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LagTime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PRR Lag Time [hr]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LAI_Bioavailability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Bioavailability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fraction, 0-1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Cover_months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of</w:t>
            </w:r>
            <w:r>
              <w:t xml:space="preserve"> </w:t>
            </w:r>
            <w:r>
              <w:rPr>
                <w:rStyle w:val="VerbatimChar"/>
              </w:rPr>
              <w:t xml:space="preserve">"1 Month"</w:t>
            </w:r>
            <w:r>
              <w:t xml:space="preserve"> </w:t>
            </w:r>
            <w:r>
              <w:t xml:space="preserve">…</w:t>
            </w:r>
            <w:r>
              <w:t xml:space="preserve"> </w:t>
            </w:r>
            <w:r>
              <w:rPr>
                <w:rStyle w:val="VerbatimChar"/>
              </w:rPr>
              <w:t xml:space="preserve">"6 Months"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ka slow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Type of Main Plot</w:t>
      </w:r>
      <w:r>
        <w:t xml:space="preserve"> </w:t>
      </w:r>
      <w:r>
        <w:t xml:space="preserve">cannot be set via the URL and always start</w:t>
      </w:r>
      <w:r>
        <w:t xml:space="preserve"> </w:t>
      </w:r>
      <w:r>
        <w:t xml:space="preserve">at their default.</w:t>
      </w:r>
    </w:p>
    <w:p>
      <w:pPr>
        <w:pStyle w:val="BodyText"/>
      </w:pPr>
      <w:r>
        <w:t xml:space="preserve">A value that is missing, cannot be parsed, or (for</w:t>
      </w:r>
      <w:r>
        <w:t xml:space="preserve"> </w:t>
      </w:r>
      <w:r>
        <w:rPr>
          <w:rStyle w:val="VerbatimChar"/>
        </w:rPr>
        <w:t xml:space="preserve">Cover_months</w:t>
      </w:r>
      <w:r>
        <w:t xml:space="preserve">) is not one</w:t>
      </w:r>
      <w:r>
        <w:t xml:space="preserve"> </w:t>
      </w:r>
      <w:r>
        <w:t xml:space="preserve">of the listed choices is left at its default rather than causing an error. A</w:t>
      </w:r>
      <w:r>
        <w:t xml:space="preserve"> </w:t>
      </w:r>
      <w:r>
        <w:t xml:space="preserve">numeric value outside an input’s valid range is kept but flagged with the</w:t>
      </w:r>
      <w:r>
        <w:t xml:space="preserve"> </w:t>
      </w:r>
      <w:r>
        <w:t xml:space="preserve">same red status icon used for an out-of-range manually-entered value - it is</w:t>
      </w:r>
      <w:r>
        <w:t xml:space="preserve"> </w:t>
      </w:r>
      <w:r>
        <w:t xml:space="preserve">not silently clamped.</w:t>
      </w:r>
    </w:p>
    <w:bookmarkEnd w:id="52"/>
    <w:bookmarkStart w:id="53" w:name="main-plot"/>
    <w:p>
      <w:pPr>
        <w:pStyle w:val="Heading2"/>
      </w:pPr>
      <w:r>
        <w:t xml:space="preserve">Main plot</w:t>
      </w:r>
    </w:p>
    <w:p>
      <w:pPr>
        <w:pStyle w:val="FirstParagraph"/>
      </w:pPr>
      <w:r>
        <w:t xml:space="preserve">The main plot shows a grid of CL,u (y-axis, linear scale) versus Vss,u</w:t>
      </w:r>
      <w:r>
        <w:t xml:space="preserve"> </w:t>
      </w:r>
      <w:r>
        <w:t xml:space="preserve">(x-axis, log scale), split into two facets -</w:t>
      </w:r>
      <w:r>
        <w:t xml:space="preserve"> </w:t>
      </w:r>
      <w:r>
        <w:rPr>
          <w:bCs/>
          <w:b/>
        </w:rPr>
        <w:t xml:space="preserve">Fast Absorption</w:t>
      </w:r>
      <w:r>
        <w:t xml:space="preserve"> </w:t>
      </w:r>
      <w:r>
        <w:t xml:space="preserve">(left) and</w:t>
      </w:r>
      <w:r>
        <w:t xml:space="preserve"> </w:t>
      </w:r>
      <w:r>
        <w:rPr>
          <w:bCs/>
          <w:b/>
        </w:rPr>
        <w:t xml:space="preserve">Slow Absorption</w:t>
      </w:r>
      <w:r>
        <w:t xml:space="preserve"> </w:t>
      </w:r>
      <w:r>
        <w:t xml:space="preserve">(right): corresponding to the two ka values.</w:t>
      </w:r>
    </w:p>
    <w:p>
      <w:pPr>
        <w:pStyle w:val="BodyText"/>
      </w:pPr>
      <w:r>
        <w:t xml:space="preserve">Each cell displays:</w:t>
      </w:r>
    </w:p>
    <w:p>
      <w:pPr>
        <w:numPr>
          <w:ilvl w:val="0"/>
          <w:numId w:val="1005"/>
        </w:numPr>
        <w:pStyle w:val="Compact"/>
      </w:pPr>
      <w:r>
        <w:t xml:space="preserve">The primary output value (Max MIC,u in nM, or Min Dose in mg).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Elim. t½</w:t>
      </w:r>
      <w:r>
        <w:t xml:space="preserve"> </w:t>
      </w:r>
      <w:r>
        <w:t xml:space="preserve">- the elimination half-life in days for that cell’s CL,u /</w:t>
      </w:r>
      <w:r>
        <w:t xml:space="preserve"> </w:t>
      </w:r>
      <w:r>
        <w:t xml:space="preserve">Vss,u combination.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VLE</w:t>
      </w:r>
      <w:r>
        <w:t xml:space="preserve"> </w:t>
      </w:r>
      <w:r>
        <w:t xml:space="preserve">(Volume Ligand Efficiency) - a dimensionless index combining potency and distribution:</w:t>
      </w:r>
      <w:r>
        <w:t xml:space="preserve"> </w:t>
      </w:r>
      <w:r>
        <w:t xml:space="preserve">VLE = -log10(MIC,u [M]) - log10(Vss,u [L/kg]). Higher values indicate a more favourable</w:t>
      </w:r>
      <w:r>
        <w:t xml:space="preserve"> </w:t>
      </w:r>
      <w:r>
        <w:t xml:space="preserve">combination of low MIC,u and small volume of distribution.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bCs/>
          <w:b/>
        </w:rPr>
        <w:t xml:space="preserve">Min Dose</w:t>
      </w:r>
      <w:r>
        <w:t xml:space="preserve"> </w:t>
      </w:r>
      <w:r>
        <w:t xml:space="preserve">view, cells are colour-coded: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</w:t>
      </w:r>
      <w:r>
        <w:t xml:space="preserve"> </w:t>
      </w:r>
      <w:r>
        <w:t xml:space="preserve">- Min Dose ≤ 400 mg (meets the MMV criteria for late lead).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Orange</w:t>
      </w:r>
      <w:r>
        <w:t xml:space="preserve"> </w:t>
      </w:r>
      <w:r>
        <w:t xml:space="preserve">- Min Dose 401-999 mg.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</w:t>
      </w:r>
      <w:r>
        <w:t xml:space="preserve"> </w:t>
      </w:r>
      <w:r>
        <w:t xml:space="preserve">- Min Dose ≥ 1000 mg.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dot marks the position of your entered CL,u and Vss,u</w:t>
      </w:r>
      <w:r>
        <w:t xml:space="preserve"> </w:t>
      </w:r>
      <w:r>
        <w:t xml:space="preserve">values on the grid. It appears in both facets and may fall between grid lines</w:t>
      </w:r>
      <w:r>
        <w:t xml:space="preserve"> </w:t>
      </w:r>
      <w:r>
        <w:t xml:space="preserve">if your values lie between the discrete grid levels.</w:t>
      </w:r>
    </w:p>
    <w:p>
      <w:pPr>
        <w:pStyle w:val="BodyText"/>
      </w:pPr>
      <w:r>
        <w:t xml:space="preserve">Click any cell to select it. The selection is shown by a highlighted border,</w:t>
      </w:r>
      <w:r>
        <w:t xml:space="preserve"> </w:t>
      </w:r>
      <w:r>
        <w:t xml:space="preserve">the cell coordinates appear below the plot, and the PK profile panel updates</w:t>
      </w:r>
      <w:r>
        <w:t xml:space="preserve"> </w:t>
      </w:r>
      <w:r>
        <w:t xml:space="preserve">immediately. Click</w:t>
      </w:r>
      <w:r>
        <w:t xml:space="preserve"> </w:t>
      </w:r>
      <w:r>
        <w:rPr>
          <w:bCs/>
          <w:b/>
        </w:rPr>
        <w:t xml:space="preserve">Clear selection</w:t>
      </w:r>
      <w:r>
        <w:t xml:space="preserve"> </w:t>
      </w:r>
      <w:r>
        <w:t xml:space="preserve">to deselect.</w:t>
      </w:r>
    </w:p>
    <w:bookmarkEnd w:id="53"/>
    <w:bookmarkStart w:id="54" w:name="pk-profile-panel"/>
    <w:p>
      <w:pPr>
        <w:pStyle w:val="Heading2"/>
      </w:pPr>
      <w:r>
        <w:t xml:space="preserve">PK profile panel</w:t>
      </w:r>
    </w:p>
    <w:p>
      <w:pPr>
        <w:pStyle w:val="FirstParagraph"/>
      </w:pPr>
      <w:r>
        <w:t xml:space="preserve">The PK profile panel below the main heatmap shows simulated unbound plasma</w:t>
      </w:r>
      <w:r>
        <w:t xml:space="preserve"> </w:t>
      </w:r>
      <w:r>
        <w:t xml:space="preserve">concentration-time curves on a log₁₀ scale (y-axis, ng/mL) over the</w:t>
      </w:r>
      <w:r>
        <w:t xml:space="preserve"> </w:t>
      </w:r>
      <w:r>
        <w:t xml:space="preserve">coverage duration (x-axis, days). A horizontal dashed line marks the predicted in-vivo</w:t>
      </w:r>
      <w:r>
        <w:t xml:space="preserve"> </w:t>
      </w:r>
      <w:r>
        <w:t xml:space="preserve">MIC,u for Your Drug.</w:t>
      </w:r>
    </w:p>
    <w:p>
      <w:pPr>
        <w:pStyle w:val="BodyText"/>
      </w:pPr>
      <w:r>
        <w:t xml:space="preserve">Two sub-panels are shown side by side:</w:t>
      </w:r>
      <w:r>
        <w:t xml:space="preserve"> </w:t>
      </w:r>
      <w:r>
        <w:rPr>
          <w:bCs/>
          <w:b/>
        </w:rPr>
        <w:t xml:space="preserve">Fast Absorption</w:t>
      </w:r>
      <w:r>
        <w:t xml:space="preserve"> </w:t>
      </w:r>
      <w:r>
        <w:t xml:space="preserve">(left) and</w:t>
      </w:r>
      <w:r>
        <w:t xml:space="preserve"> </w:t>
      </w:r>
      <w:r>
        <w:rPr>
          <w:bCs/>
          <w:b/>
        </w:rPr>
        <w:t xml:space="preserve">Slow</w:t>
      </w:r>
      <w:r>
        <w:rPr>
          <w:bCs/>
          <w:b/>
        </w:rPr>
        <w:t xml:space="preserve"> </w:t>
      </w:r>
      <w:r>
        <w:rPr>
          <w:bCs/>
          <w:b/>
        </w:rPr>
        <w:t xml:space="preserve">Absorption</w:t>
      </w:r>
      <w:r>
        <w:t xml:space="preserve"> </w:t>
      </w:r>
      <w:r>
        <w:t xml:space="preserve">(right). Each sub-panel overlays the dose scenarios selected in</w:t>
      </w:r>
      <w:r>
        <w:t xml:space="preserve"> </w:t>
      </w:r>
      <w:r>
        <w:t xml:space="preserve">the PK profile tickbox table.</w:t>
      </w:r>
    </w:p>
    <w:p>
      <w:pPr>
        <w:pStyle w:val="BodyText"/>
      </w:pPr>
      <w:r>
        <w:t xml:space="preserve">The legend labels each line with the dose scenario name and dose (mg), for</w:t>
      </w:r>
      <w:r>
        <w:t xml:space="preserve"> </w:t>
      </w:r>
      <w:r>
        <w:t xml:space="preserve">example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Your Drug at Min Dose of Your Drug for 3 mo &gt; MIC,u (298 mg)</w:t>
      </w:r>
      <w:r>
        <w:rPr>
          <w:iCs/>
          <w:i/>
        </w:rPr>
        <w:t xml:space="preserve">”</w:t>
      </w:r>
      <w:r>
        <w:t xml:space="preserve">.</w:t>
      </w:r>
    </w:p>
    <w:bookmarkEnd w:id="54"/>
    <w:bookmarkStart w:id="55" w:name="your-drug-panel"/>
    <w:p>
      <w:pPr>
        <w:pStyle w:val="Heading2"/>
      </w:pPr>
      <w:r>
        <w:t xml:space="preserve">Your Drug panel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Your Drug</w:t>
      </w:r>
      <w:r>
        <w:t xml:space="preserve"> </w:t>
      </w:r>
      <w:r>
        <w:t xml:space="preserve">panel on the right-hand side of the screen contains two</w:t>
      </w:r>
      <w:r>
        <w:t xml:space="preserve"> </w:t>
      </w:r>
      <w:r>
        <w:t xml:space="preserve">tables:</w:t>
      </w:r>
    </w:p>
    <w:p>
      <w:pPr>
        <w:pStyle w:val="BodyText"/>
      </w:pPr>
      <w:r>
        <w:rPr>
          <w:bCs/>
          <w:b/>
        </w:rPr>
        <w:t xml:space="preserve">Human PK/PD Parameters</w:t>
      </w:r>
      <w:r>
        <w:t xml:space="preserve">: lists all input parameters and derived</w:t>
      </w:r>
      <w:r>
        <w:t xml:space="preserve"> </w:t>
      </w:r>
      <w:r>
        <w:t xml:space="preserve">quantities for your drug: clearance, volume, absorption half-lives (fast and</w:t>
      </w:r>
      <w:r>
        <w:t xml:space="preserve"> </w:t>
      </w:r>
      <w:r>
        <w:t xml:space="preserve">slow), IC50,u, PRR, Hill slope, EC50,u, E</w:t>
      </w:r>
      <w:r>
        <w:rPr>
          <w:vertAlign w:val="subscript"/>
        </w:rPr>
        <w:t xml:space="preserve">max</w:t>
      </w:r>
      <w:r>
        <w:t xml:space="preserve">, and in-vivo MIC,u. The</w:t>
      </w:r>
      <w:r>
        <w:t xml:space="preserve"> </w:t>
      </w:r>
      <w:r>
        <w:rPr>
          <w:bCs/>
          <w:b/>
        </w:rPr>
        <w:t xml:space="preserve">Source</w:t>
      </w:r>
      <w:r>
        <w:t xml:space="preserve"> </w:t>
      </w:r>
      <w:r>
        <w:t xml:space="preserve">column indicates whether each value was entered by the user</w:t>
      </w:r>
      <w:r>
        <w:t xml:space="preserve"> </w:t>
      </w:r>
      <w:r>
        <w:t xml:space="preserve">(</w:t>
      </w:r>
      <w:r>
        <w:rPr>
          <w:iCs/>
          <w:i/>
        </w:rPr>
        <w:t xml:space="preserve">User input</w:t>
      </w:r>
      <w:r>
        <w:t xml:space="preserve">), is a formula-derived quantity (</w:t>
      </w:r>
      <w:r>
        <w:rPr>
          <w:iCs/>
          <w:i/>
        </w:rPr>
        <w:t xml:space="preserve">formula</w:t>
      </w:r>
      <w:r>
        <w:t xml:space="preserve">), or is a default</w:t>
      </w:r>
      <w:r>
        <w:t xml:space="preserve"> </w:t>
      </w:r>
      <w:r>
        <w:t xml:space="preserve">(</w:t>
      </w:r>
      <w:r>
        <w:rPr>
          <w:iCs/>
          <w:i/>
        </w:rPr>
        <w:t xml:space="preserve">Default value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Simulation Results</w:t>
      </w:r>
      <w:r>
        <w:t xml:space="preserve">: shows the minimum dose and the time to reach MIC,u</w:t>
      </w:r>
      <w:r>
        <w:t xml:space="preserve"> </w:t>
      </w:r>
      <w:r>
        <w:t xml:space="preserve">for both fast and slow absorption scenarios, for 3-month and 6-month coverage</w:t>
      </w:r>
      <w:r>
        <w:t xml:space="preserve"> </w:t>
      </w:r>
      <w:r>
        <w:t xml:space="preserve">durations. If a custom coverage duration other than 3 or 6 months is</w:t>
      </w:r>
      <w:r>
        <w:t xml:space="preserve"> </w:t>
      </w:r>
      <w:r>
        <w:t xml:space="preserve">selected, an additional row is shown. Values marked</w:t>
      </w:r>
      <w:r>
        <w:t xml:space="preserve"> </w:t>
      </w:r>
      <w:r>
        <w:rPr>
          <w:bCs/>
          <w:b/>
        </w:rPr>
        <w:t xml:space="preserve">&gt; 9999</w:t>
      </w:r>
      <w:r>
        <w:t xml:space="preserve"> </w:t>
      </w:r>
      <w:r>
        <w:t xml:space="preserve">indicate that</w:t>
      </w:r>
      <w:r>
        <w:t xml:space="preserve"> </w:t>
      </w:r>
      <w:r>
        <w:t xml:space="preserve">no feasible dose was found within the 9999 mg search limit.</w:t>
      </w:r>
    </w:p>
    <w:bookmarkEnd w:id="55"/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ce5c00"/>
      <w:shd w:val="clear" w:fill="f8f8f8"/>
      <w:b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204a87"/>
      <w:shd w:val="clear" w:fill="f8f8f8"/>
      <w:b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hyperlink" Id="rId20" Target="https://laiparameter.mmv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laiparameter.mmv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MMV LAI Parameter Explorer - User Guide</dc:title>
  <dc:creator>Venelin Mitov, Ghaith Aljayyoussi, Peter Webborn, Mark Gardner, Sam Jones, Nathalie Gobeau, Jeremy Burrows, Steven Brand</dc:creator>
  <cp:keywords/>
  <dcterms:created xsi:type="dcterms:W3CDTF">2026-11-04T18:16:37Z</dcterms:created>
  <dcterms:modified xsi:type="dcterms:W3CDTF">2026-11-04T18:16:37Z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okdown">
    <vt:lpwstr/>
  </property>
  <property fmtid="{D5CDD505-2E9C-101B-9397-08002B2CF9AE}" pid="3" name="date">
    <vt:lpwstr>Version 1.4.1, November 2026</vt:lpwstr>
  </property>
  <property fmtid="{D5CDD505-2E9C-101B-9397-08002B2CF9AE}" pid="4" name="site">
    <vt:lpwstr>bookdown::bookdown_site</vt:lpwstr>
  </property>
</Properties>
</file>